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E3A5F"/>
          <w:sz w:val="44"/>
        </w:rPr>
        <w:t>När skola och arbetsliv möts</w:t>
      </w:r>
    </w:p>
    <w:p>
      <w:pPr>
        <w:spacing w:after="80"/>
      </w:pPr>
      <w:r>
        <w:rPr>
          <w:i/>
          <w:color w:val="4A6F8C"/>
          <w:sz w:val="28"/>
        </w:rPr>
        <w:t>APL som bro mellan två världar</w:t>
      </w:r>
    </w:p>
    <w:p>
      <w:r>
        <w:rPr>
          <w:color w:val="888888"/>
          <w:sz w:val="20"/>
        </w:rPr>
        <w:t>Sammanställt utifrån föreläsning med Åsa Martinsson</w:t>
      </w:r>
    </w:p>
    <w:p>
      <w:r>
        <w:rPr>
          <w:color w:val="888888"/>
          <w:sz w:val="20"/>
        </w:rPr>
        <w:t>Av Therese Strid – yrkeslärare BF, IKT-pedagog, 25 år i skolans värld</w:t>
      </w:r>
    </w:p>
    <w:p>
      <w:pPr>
        <w:spacing w:before="120" w:after="120"/>
      </w:pPr>
      <w:r>
        <w:rPr>
          <w:color w:val="C8C8C8"/>
          <w:sz w:val="12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t>1. APL – ett möte mellan två världar</w:t>
      </w:r>
    </w:p>
    <w:p>
      <w:r>
        <w:rPr>
          <w:b/>
        </w:rPr>
        <w:t>APL innebär att eleven befinner sig mellan:</w:t>
      </w:r>
    </w:p>
    <w:p>
      <w:pPr>
        <w:pStyle w:val="ListBullet"/>
      </w:pPr>
      <w:r>
        <w:rPr>
          <w:sz w:val="22"/>
        </w:rPr>
        <w:t>skolans lärande och styrdokument</w:t>
      </w:r>
    </w:p>
    <w:p>
      <w:pPr>
        <w:pStyle w:val="ListBullet"/>
      </w:pPr>
      <w:r>
        <w:rPr>
          <w:sz w:val="22"/>
        </w:rPr>
        <w:t>arbetsplatsens kultur och verklighet</w:t>
      </w:r>
    </w:p>
    <w:p>
      <w:r>
        <w:rPr>
          <w:sz w:val="22"/>
        </w:rPr>
        <w:t>Skolan och arbetslivet delar samma mål – att eleven ska utvecklas – men de använder ofta olika språk och har olika fokus.</w:t>
      </w:r>
    </w:p>
    <w:p>
      <w:pPr>
        <w:pStyle w:val="Heading3"/>
      </w:pPr>
      <w:r>
        <w:t>I skolan:</w:t>
      </w:r>
    </w:p>
    <w:p>
      <w:pPr>
        <w:pStyle w:val="ListBullet"/>
      </w:pPr>
      <w:r>
        <w:rPr>
          <w:sz w:val="22"/>
        </w:rPr>
        <w:t>eleven ska få öva</w:t>
      </w:r>
    </w:p>
    <w:p>
      <w:pPr>
        <w:pStyle w:val="ListBullet"/>
      </w:pPr>
      <w:r>
        <w:rPr>
          <w:sz w:val="22"/>
        </w:rPr>
        <w:t>göra misstag</w:t>
      </w:r>
    </w:p>
    <w:p>
      <w:pPr>
        <w:pStyle w:val="ListBullet"/>
      </w:pPr>
      <w:r>
        <w:rPr>
          <w:sz w:val="22"/>
        </w:rPr>
        <w:t>få stöd</w:t>
      </w:r>
    </w:p>
    <w:p>
      <w:pPr>
        <w:pStyle w:val="ListBullet"/>
      </w:pPr>
      <w:r>
        <w:rPr>
          <w:sz w:val="22"/>
        </w:rPr>
        <w:t>utvecklas i sin takt</w:t>
      </w:r>
    </w:p>
    <w:p>
      <w:pPr>
        <w:pStyle w:val="ListBullet"/>
      </w:pPr>
      <w:r>
        <w:rPr>
          <w:sz w:val="22"/>
        </w:rPr>
        <w:t>reflektera och ifrågasätta</w:t>
      </w:r>
    </w:p>
    <w:p>
      <w:pPr>
        <w:pStyle w:val="Heading3"/>
      </w:pPr>
      <w:r>
        <w:t>På arbetsplatsen:</w:t>
      </w:r>
    </w:p>
    <w:p>
      <w:pPr>
        <w:pStyle w:val="ListBullet"/>
      </w:pPr>
      <w:r>
        <w:rPr>
          <w:sz w:val="22"/>
        </w:rPr>
        <w:t>finns rutiner och produktion</w:t>
      </w:r>
    </w:p>
    <w:p>
      <w:pPr>
        <w:pStyle w:val="ListBullet"/>
      </w:pPr>
      <w:r>
        <w:rPr>
          <w:sz w:val="22"/>
        </w:rPr>
        <w:t>förväntas anpassning</w:t>
      </w:r>
    </w:p>
    <w:p>
      <w:pPr>
        <w:pStyle w:val="ListBullet"/>
      </w:pPr>
      <w:r>
        <w:rPr>
          <w:sz w:val="22"/>
        </w:rPr>
        <w:t>finns yrkeskultur och jargong</w:t>
      </w:r>
    </w:p>
    <w:p>
      <w:pPr>
        <w:pStyle w:val="ListBullet"/>
      </w:pPr>
      <w:r>
        <w:rPr>
          <w:sz w:val="22"/>
        </w:rPr>
        <w:t>behöver man passa in i arbetslaget</w:t>
      </w:r>
    </w:p>
    <w:p>
      <w:r>
        <w:rPr>
          <w:i/>
          <w:sz w:val="22"/>
        </w:rPr>
        <w:t>Det kan skapa "skav" mellan skola och arbetsliv. Detta skav är inte ett problem – det är här yrkeslärarens jobb börjar.</w:t>
      </w:r>
    </w:p>
    <w:p>
      <w:pPr>
        <w:spacing w:before="120" w:after="120"/>
      </w:pPr>
      <w:r>
        <w:rPr>
          <w:color w:val="C8C8C8"/>
          <w:sz w:val="12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t>2. Yrkesläraren blir en bro mellan världarna</w:t>
      </w:r>
    </w:p>
    <w:p>
      <w:r>
        <w:rPr>
          <w:b/>
        </w:rPr>
        <w:t>En viktig del av yrkeslärarens uppdrag är att fungera som:</w:t>
      </w:r>
    </w:p>
    <w:p>
      <w:pPr>
        <w:pStyle w:val="ListBullet"/>
      </w:pPr>
      <w:r>
        <w:rPr>
          <w:sz w:val="22"/>
        </w:rPr>
        <w:t>översättare mellan skolans och arbetslivets språk</w:t>
      </w:r>
    </w:p>
    <w:p>
      <w:pPr>
        <w:pStyle w:val="ListBullet"/>
      </w:pPr>
      <w:r>
        <w:rPr>
          <w:sz w:val="22"/>
        </w:rPr>
        <w:t>relationsskapare mellan elev, handledare och skola</w:t>
      </w:r>
    </w:p>
    <w:p>
      <w:pPr>
        <w:pStyle w:val="ListBullet"/>
      </w:pPr>
      <w:r>
        <w:rPr>
          <w:sz w:val="22"/>
        </w:rPr>
        <w:t>samordnare av mål, tider och förväntningar</w:t>
      </w:r>
    </w:p>
    <w:p>
      <w:pPr>
        <w:pStyle w:val="ListBullet"/>
      </w:pPr>
      <w:r>
        <w:rPr>
          <w:sz w:val="22"/>
        </w:rPr>
        <w:t>"mäklare" mellan skola och arbetsplats</w:t>
      </w:r>
    </w:p>
    <w:p>
      <w:pPr>
        <w:pStyle w:val="Heading3"/>
      </w:pPr>
      <w:r>
        <w:t>Yrkesläraren behöver:</w:t>
      </w:r>
    </w:p>
    <w:p>
      <w:pPr>
        <w:pStyle w:val="ListBullet"/>
      </w:pPr>
      <w:r>
        <w:rPr>
          <w:sz w:val="22"/>
        </w:rPr>
        <w:t>anpassa skolans språk till arbetsplatsen</w:t>
      </w:r>
    </w:p>
    <w:p>
      <w:pPr>
        <w:pStyle w:val="ListBullet"/>
      </w:pPr>
      <w:r>
        <w:rPr>
          <w:sz w:val="22"/>
        </w:rPr>
        <w:t>skapa relationer med handledare</w:t>
      </w:r>
    </w:p>
    <w:p>
      <w:pPr>
        <w:pStyle w:val="ListBullet"/>
      </w:pPr>
      <w:r>
        <w:rPr>
          <w:sz w:val="22"/>
        </w:rPr>
        <w:t>bygga nätverk</w:t>
      </w:r>
    </w:p>
    <w:p>
      <w:pPr>
        <w:pStyle w:val="ListBullet"/>
      </w:pPr>
      <w:r>
        <w:rPr>
          <w:sz w:val="22"/>
        </w:rPr>
        <w:t>förstå både elevens och arbetsplatsens behov</w:t>
      </w:r>
    </w:p>
    <w:p>
      <w:pPr>
        <w:spacing w:before="120" w:after="120"/>
      </w:pPr>
      <w:r>
        <w:rPr>
          <w:color w:val="C8C8C8"/>
          <w:sz w:val="12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t>3. Handledaren är viktig – men behöver stöd</w:t>
      </w:r>
    </w:p>
    <w:p>
      <w:r>
        <w:rPr>
          <w:b/>
        </w:rPr>
        <w:t>Handledaren leder eleven i vardagen men:</w:t>
      </w:r>
    </w:p>
    <w:p>
      <w:pPr>
        <w:pStyle w:val="ListBullet"/>
      </w:pPr>
      <w:r>
        <w:rPr>
          <w:sz w:val="22"/>
        </w:rPr>
        <w:t>har inget lagstadgat ansvar att bedöma eleven</w:t>
      </w:r>
    </w:p>
    <w:p>
      <w:pPr>
        <w:pStyle w:val="ListBullet"/>
      </w:pPr>
      <w:r>
        <w:rPr>
          <w:sz w:val="22"/>
        </w:rPr>
        <w:t>behöver förstå skolans mål och språk</w:t>
      </w:r>
    </w:p>
    <w:p>
      <w:pPr>
        <w:pStyle w:val="ListBullet"/>
      </w:pPr>
      <w:r>
        <w:rPr>
          <w:sz w:val="22"/>
        </w:rPr>
        <w:t>behöver handledningskompetens</w:t>
      </w:r>
    </w:p>
    <w:p>
      <w:pPr>
        <w:pStyle w:val="Heading3"/>
      </w:pPr>
      <w:r>
        <w:t>En bra handledare behöver:</w:t>
      </w:r>
    </w:p>
    <w:p>
      <w:pPr>
        <w:pStyle w:val="ListBullet"/>
      </w:pPr>
      <w:r>
        <w:rPr>
          <w:sz w:val="22"/>
        </w:rPr>
        <w:t>yrkeskunnighet</w:t>
      </w:r>
    </w:p>
    <w:p>
      <w:pPr>
        <w:pStyle w:val="ListBullet"/>
      </w:pPr>
      <w:r>
        <w:rPr>
          <w:sz w:val="22"/>
        </w:rPr>
        <w:t>pedagogisk förmåga</w:t>
      </w:r>
    </w:p>
    <w:p>
      <w:pPr>
        <w:pStyle w:val="ListBullet"/>
      </w:pPr>
      <w:r>
        <w:rPr>
          <w:sz w:val="22"/>
        </w:rPr>
        <w:t>tålamod</w:t>
      </w:r>
    </w:p>
    <w:p>
      <w:pPr>
        <w:pStyle w:val="ListBullet"/>
      </w:pPr>
      <w:r>
        <w:rPr>
          <w:sz w:val="22"/>
        </w:rPr>
        <w:t>förståelse för ungdomar</w:t>
      </w:r>
    </w:p>
    <w:p>
      <w:pPr>
        <w:pStyle w:val="ListBullet"/>
      </w:pPr>
      <w:r>
        <w:rPr>
          <w:sz w:val="22"/>
        </w:rPr>
        <w:t>kunna förklara helheten i arbetet</w:t>
      </w:r>
    </w:p>
    <w:p>
      <w:pPr>
        <w:spacing w:before="120" w:after="120"/>
      </w:pPr>
      <w:r>
        <w:rPr>
          <w:color w:val="C8C8C8"/>
          <w:sz w:val="12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t>4. APL-platser skapas genom relationer</w:t>
      </w:r>
    </w:p>
    <w:p>
      <w:r>
        <w:rPr>
          <w:b/>
        </w:rPr>
        <w:t>Att hitta APL-platser handlar inte bara om att "ringa runt". Det kräver:</w:t>
      </w:r>
    </w:p>
    <w:p>
      <w:pPr>
        <w:pStyle w:val="ListBullet"/>
      </w:pPr>
      <w:r>
        <w:rPr>
          <w:sz w:val="22"/>
        </w:rPr>
        <w:t>tid</w:t>
      </w:r>
    </w:p>
    <w:p>
      <w:pPr>
        <w:pStyle w:val="ListBullet"/>
      </w:pPr>
      <w:r>
        <w:rPr>
          <w:sz w:val="22"/>
        </w:rPr>
        <w:t>fingertoppskänsla</w:t>
      </w:r>
    </w:p>
    <w:p>
      <w:pPr>
        <w:pStyle w:val="ListBullet"/>
      </w:pPr>
      <w:r>
        <w:rPr>
          <w:sz w:val="22"/>
        </w:rPr>
        <w:t>nätverk</w:t>
      </w:r>
    </w:p>
    <w:p>
      <w:pPr>
        <w:pStyle w:val="ListBullet"/>
      </w:pPr>
      <w:r>
        <w:rPr>
          <w:sz w:val="22"/>
        </w:rPr>
        <w:t>nyfikenhet</w:t>
      </w:r>
    </w:p>
    <w:p>
      <w:pPr>
        <w:pStyle w:val="ListBullet"/>
      </w:pPr>
      <w:r>
        <w:rPr>
          <w:sz w:val="22"/>
        </w:rPr>
        <w:t>relationsskapande</w:t>
      </w:r>
    </w:p>
    <w:p>
      <w:pPr>
        <w:pStyle w:val="ListBullet"/>
      </w:pPr>
      <w:r>
        <w:rPr>
          <w:sz w:val="22"/>
        </w:rPr>
        <w:t>tyst kunskap</w:t>
      </w:r>
    </w:p>
    <w:p>
      <w:r>
        <w:rPr>
          <w:b/>
          <w:sz w:val="22"/>
        </w:rPr>
        <w:t>Föreläsningen visar exempel på lärare som:</w:t>
      </w:r>
    </w:p>
    <w:p>
      <w:pPr>
        <w:pStyle w:val="ListBullet"/>
      </w:pPr>
      <w:r>
        <w:rPr>
          <w:sz w:val="22"/>
        </w:rPr>
        <w:t>använde kontakter och relationer</w:t>
      </w:r>
    </w:p>
    <w:p>
      <w:pPr>
        <w:pStyle w:val="ListBullet"/>
      </w:pPr>
      <w:r>
        <w:rPr>
          <w:sz w:val="22"/>
        </w:rPr>
        <w:t>vågade fråga nya arbetsplatser</w:t>
      </w:r>
    </w:p>
    <w:p>
      <w:pPr>
        <w:pStyle w:val="ListBullet"/>
      </w:pPr>
      <w:r>
        <w:rPr>
          <w:sz w:val="22"/>
        </w:rPr>
        <w:t>besökte branschen personligen</w:t>
      </w:r>
    </w:p>
    <w:p>
      <w:pPr>
        <w:pStyle w:val="ListBullet"/>
      </w:pPr>
      <w:r>
        <w:rPr>
          <w:sz w:val="22"/>
        </w:rPr>
        <w:t>skapade förtroende över tid</w:t>
      </w:r>
    </w:p>
    <w:p>
      <w:pPr>
        <w:spacing w:before="120" w:after="120"/>
      </w:pPr>
      <w:r>
        <w:rPr>
          <w:color w:val="C8C8C8"/>
          <w:sz w:val="12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t>5. Alla elever har olika förutsättningar</w:t>
      </w:r>
    </w:p>
    <w:p>
      <w:r>
        <w:rPr>
          <w:b/>
        </w:rPr>
        <w:t>Elever kommer till APL med olika:</w:t>
      </w:r>
    </w:p>
    <w:p>
      <w:pPr>
        <w:pStyle w:val="ListBullet"/>
      </w:pPr>
      <w:r>
        <w:rPr>
          <w:sz w:val="22"/>
        </w:rPr>
        <w:t>erfarenheter</w:t>
      </w:r>
    </w:p>
    <w:p>
      <w:pPr>
        <w:pStyle w:val="ListBullet"/>
      </w:pPr>
      <w:r>
        <w:rPr>
          <w:sz w:val="22"/>
        </w:rPr>
        <w:t>trygghet</w:t>
      </w:r>
    </w:p>
    <w:p>
      <w:pPr>
        <w:pStyle w:val="ListBullet"/>
      </w:pPr>
      <w:r>
        <w:rPr>
          <w:sz w:val="22"/>
        </w:rPr>
        <w:t>socialt stöd</w:t>
      </w:r>
    </w:p>
    <w:p>
      <w:pPr>
        <w:pStyle w:val="ListBullet"/>
      </w:pPr>
      <w:r>
        <w:rPr>
          <w:sz w:val="22"/>
        </w:rPr>
        <w:t>självkänsla</w:t>
      </w:r>
    </w:p>
    <w:p>
      <w:pPr>
        <w:pStyle w:val="ListBullet"/>
      </w:pPr>
      <w:r>
        <w:rPr>
          <w:sz w:val="22"/>
        </w:rPr>
        <w:t>kunskap om arbetslivet</w:t>
      </w:r>
    </w:p>
    <w:p>
      <w:pPr>
        <w:pStyle w:val="Heading3"/>
      </w:pPr>
      <w:r>
        <w:t>Vissa elever:</w:t>
      </w:r>
    </w:p>
    <w:p>
      <w:pPr>
        <w:pStyle w:val="ListBullet"/>
      </w:pPr>
      <w:r>
        <w:rPr>
          <w:sz w:val="22"/>
        </w:rPr>
        <w:t>vet inte hur man hittar entrén</w:t>
      </w:r>
    </w:p>
    <w:p>
      <w:pPr>
        <w:pStyle w:val="ListBullet"/>
      </w:pPr>
      <w:r>
        <w:rPr>
          <w:sz w:val="22"/>
        </w:rPr>
        <w:t>vet inte hur man frågar om hjälp</w:t>
      </w:r>
    </w:p>
    <w:p>
      <w:pPr>
        <w:pStyle w:val="ListBullet"/>
      </w:pPr>
      <w:r>
        <w:rPr>
          <w:sz w:val="22"/>
        </w:rPr>
        <w:t>har aldrig mött arbetsplatskultur</w:t>
      </w:r>
    </w:p>
    <w:p>
      <w:pPr>
        <w:pStyle w:val="ListBullet"/>
      </w:pPr>
      <w:r>
        <w:rPr>
          <w:sz w:val="22"/>
        </w:rPr>
        <w:t>kan misstolka ironi eller jargong</w:t>
      </w:r>
    </w:p>
    <w:p>
      <w:pPr>
        <w:pStyle w:val="ListBullet"/>
      </w:pPr>
      <w:r>
        <w:rPr>
          <w:sz w:val="22"/>
        </w:rPr>
        <w:t>saknar vuxna förebilder i arbetslivet</w:t>
      </w:r>
    </w:p>
    <w:p>
      <w:r>
        <w:rPr>
          <w:b/>
          <w:i/>
          <w:sz w:val="22"/>
        </w:rPr>
        <w:t>Det som verkar självklart för vuxna är inte alltid självklart för elever.</w:t>
      </w:r>
    </w:p>
    <w:p>
      <w:pPr>
        <w:spacing w:before="120" w:after="120"/>
      </w:pPr>
      <w:r>
        <w:rPr>
          <w:color w:val="C8C8C8"/>
          <w:sz w:val="12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t>6. APL behöver förberedas – långt innan</w:t>
      </w:r>
    </w:p>
    <w:p>
      <w:r>
        <w:rPr>
          <w:b/>
        </w:rPr>
        <w:t>Elever behöver träna på:</w:t>
      </w:r>
    </w:p>
    <w:p>
      <w:pPr>
        <w:pStyle w:val="ListBullet"/>
      </w:pPr>
      <w:r>
        <w:rPr>
          <w:sz w:val="22"/>
        </w:rPr>
        <w:t>arbetsplatskoder</w:t>
      </w:r>
    </w:p>
    <w:p>
      <w:pPr>
        <w:pStyle w:val="ListBullet"/>
      </w:pPr>
      <w:r>
        <w:rPr>
          <w:sz w:val="22"/>
        </w:rPr>
        <w:t>kommunikation</w:t>
      </w:r>
    </w:p>
    <w:p>
      <w:pPr>
        <w:pStyle w:val="ListBullet"/>
      </w:pPr>
      <w:r>
        <w:rPr>
          <w:sz w:val="22"/>
        </w:rPr>
        <w:t>ansvar</w:t>
      </w:r>
    </w:p>
    <w:p>
      <w:pPr>
        <w:pStyle w:val="ListBullet"/>
      </w:pPr>
      <w:r>
        <w:rPr>
          <w:sz w:val="22"/>
        </w:rPr>
        <w:t>tider och rutiner</w:t>
      </w:r>
    </w:p>
    <w:p>
      <w:pPr>
        <w:pStyle w:val="ListBullet"/>
      </w:pPr>
      <w:r>
        <w:rPr>
          <w:sz w:val="22"/>
        </w:rPr>
        <w:t>bemötande</w:t>
      </w:r>
    </w:p>
    <w:p>
      <w:pPr>
        <w:pStyle w:val="ListBullet"/>
      </w:pPr>
      <w:r>
        <w:rPr>
          <w:sz w:val="22"/>
        </w:rPr>
        <w:t>yrkesspråk</w:t>
      </w:r>
    </w:p>
    <w:p>
      <w:pPr>
        <w:pStyle w:val="ListBullet"/>
      </w:pPr>
      <w:r>
        <w:rPr>
          <w:sz w:val="22"/>
        </w:rPr>
        <w:t>att fråga om hjälp</w:t>
      </w:r>
    </w:p>
    <w:p>
      <w:pPr>
        <w:pStyle w:val="ListBullet"/>
      </w:pPr>
      <w:r>
        <w:rPr>
          <w:sz w:val="22"/>
        </w:rPr>
        <w:t>att hantera nya situationer</w:t>
      </w:r>
    </w:p>
    <w:p>
      <w:r>
        <w:rPr>
          <w:i/>
          <w:sz w:val="22"/>
        </w:rPr>
        <w:t>APL börjar långt innan eleven kommer ut på arbetsplatsen.</w:t>
      </w:r>
    </w:p>
    <w:p>
      <w:pPr>
        <w:spacing w:before="120" w:after="120"/>
      </w:pPr>
      <w:r>
        <w:rPr>
          <w:color w:val="C8C8C8"/>
          <w:sz w:val="12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t>7. Yrkesläraren behöver vara närvarande</w:t>
      </w:r>
    </w:p>
    <w:p>
      <w:r>
        <w:rPr>
          <w:b/>
          <w:sz w:val="22"/>
        </w:rPr>
        <w:t>Föreläsningen betonar vikten av:</w:t>
      </w:r>
    </w:p>
    <w:p>
      <w:pPr>
        <w:pStyle w:val="ListBullet"/>
      </w:pPr>
      <w:r>
        <w:rPr>
          <w:sz w:val="22"/>
        </w:rPr>
        <w:t>tät kontakt</w:t>
      </w:r>
    </w:p>
    <w:p>
      <w:pPr>
        <w:pStyle w:val="ListBullet"/>
      </w:pPr>
      <w:r>
        <w:rPr>
          <w:sz w:val="22"/>
        </w:rPr>
        <w:t>uppföljning</w:t>
      </w:r>
    </w:p>
    <w:p>
      <w:pPr>
        <w:pStyle w:val="ListBullet"/>
      </w:pPr>
      <w:r>
        <w:rPr>
          <w:sz w:val="22"/>
        </w:rPr>
        <w:t>relationer</w:t>
      </w:r>
    </w:p>
    <w:p>
      <w:pPr>
        <w:pStyle w:val="ListBullet"/>
      </w:pPr>
      <w:r>
        <w:rPr>
          <w:sz w:val="22"/>
        </w:rPr>
        <w:t>tillgänglighet</w:t>
      </w:r>
    </w:p>
    <w:p>
      <w:r>
        <w:rPr>
          <w:b/>
        </w:rPr>
        <w:t>Särskilt i början av APL-perioden. Det kan innebära:</w:t>
      </w:r>
    </w:p>
    <w:p>
      <w:pPr>
        <w:pStyle w:val="ListBullet"/>
      </w:pPr>
      <w:r>
        <w:rPr>
          <w:sz w:val="22"/>
        </w:rPr>
        <w:t>följa med eleven första dagen</w:t>
      </w:r>
    </w:p>
    <w:p>
      <w:pPr>
        <w:pStyle w:val="ListBullet"/>
      </w:pPr>
      <w:r>
        <w:rPr>
          <w:sz w:val="22"/>
        </w:rPr>
        <w:t>visa vägen</w:t>
      </w:r>
    </w:p>
    <w:p>
      <w:pPr>
        <w:pStyle w:val="ListBullet"/>
      </w:pPr>
      <w:r>
        <w:rPr>
          <w:sz w:val="22"/>
        </w:rPr>
        <w:t>ringa och följa upp</w:t>
      </w:r>
    </w:p>
    <w:p>
      <w:pPr>
        <w:pStyle w:val="ListBullet"/>
      </w:pPr>
      <w:r>
        <w:rPr>
          <w:sz w:val="22"/>
        </w:rPr>
        <w:t>stötta vid oro eller missförstånd</w:t>
      </w:r>
    </w:p>
    <w:p>
      <w:pPr>
        <w:spacing w:before="120" w:after="120"/>
      </w:pPr>
      <w:r>
        <w:rPr>
          <w:color w:val="C8C8C8"/>
          <w:sz w:val="12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t>8. Tre nivåer av lärande på APL</w:t>
      </w:r>
    </w:p>
    <w:p>
      <w:pPr>
        <w:pStyle w:val="Heading3"/>
      </w:pPr>
      <w:r>
        <w:t>Nivå 1 – Vad gör man?</w:t>
      </w:r>
    </w:p>
    <w:p>
      <w:r>
        <w:rPr>
          <w:sz w:val="22"/>
        </w:rPr>
        <w:t>Eleven observerar:</w:t>
      </w:r>
    </w:p>
    <w:p>
      <w:pPr>
        <w:pStyle w:val="ListBullet"/>
      </w:pPr>
      <w:r>
        <w:rPr>
          <w:sz w:val="22"/>
        </w:rPr>
        <w:t>arbetsuppgifter</w:t>
      </w:r>
    </w:p>
    <w:p>
      <w:pPr>
        <w:pStyle w:val="ListBullet"/>
      </w:pPr>
      <w:r>
        <w:rPr>
          <w:sz w:val="22"/>
        </w:rPr>
        <w:t>rutiner</w:t>
      </w:r>
    </w:p>
    <w:p>
      <w:pPr>
        <w:pStyle w:val="ListBullet"/>
      </w:pPr>
      <w:r>
        <w:rPr>
          <w:sz w:val="22"/>
        </w:rPr>
        <w:t>miljö</w:t>
      </w:r>
    </w:p>
    <w:p>
      <w:pPr>
        <w:pStyle w:val="ListBullet"/>
      </w:pPr>
      <w:r>
        <w:rPr>
          <w:sz w:val="22"/>
        </w:rPr>
        <w:t>arbetssätt</w:t>
      </w:r>
    </w:p>
    <w:p>
      <w:pPr>
        <w:pStyle w:val="Heading3"/>
      </w:pPr>
      <w:r>
        <w:t>Nivå 2 – Varför gör man så?</w:t>
      </w:r>
    </w:p>
    <w:p>
      <w:r>
        <w:rPr>
          <w:sz w:val="22"/>
        </w:rPr>
        <w:t>Eleven börjar förstå:</w:t>
      </w:r>
    </w:p>
    <w:p>
      <w:pPr>
        <w:pStyle w:val="ListBullet"/>
      </w:pPr>
      <w:r>
        <w:rPr>
          <w:sz w:val="22"/>
        </w:rPr>
        <w:t>säkerhet</w:t>
      </w:r>
    </w:p>
    <w:p>
      <w:pPr>
        <w:pStyle w:val="ListBullet"/>
      </w:pPr>
      <w:r>
        <w:rPr>
          <w:sz w:val="22"/>
        </w:rPr>
        <w:t>ansvar</w:t>
      </w:r>
    </w:p>
    <w:p>
      <w:pPr>
        <w:pStyle w:val="ListBullet"/>
      </w:pPr>
      <w:r>
        <w:rPr>
          <w:sz w:val="22"/>
        </w:rPr>
        <w:t>rutiner</w:t>
      </w:r>
    </w:p>
    <w:p>
      <w:pPr>
        <w:pStyle w:val="ListBullet"/>
      </w:pPr>
      <w:r>
        <w:rPr>
          <w:sz w:val="22"/>
        </w:rPr>
        <w:t>yrkeskunnande</w:t>
      </w:r>
    </w:p>
    <w:p>
      <w:pPr>
        <w:pStyle w:val="ListBullet"/>
      </w:pPr>
      <w:r>
        <w:rPr>
          <w:sz w:val="22"/>
        </w:rPr>
        <w:t>varför vissa arbetssätt är viktiga</w:t>
      </w:r>
    </w:p>
    <w:p>
      <w:pPr>
        <w:pStyle w:val="Heading3"/>
      </w:pPr>
      <w:r>
        <w:t>Nivå 3 – Hur bemöter och kommunicerar man?</w:t>
      </w:r>
    </w:p>
    <w:p>
      <w:r>
        <w:rPr>
          <w:sz w:val="22"/>
        </w:rPr>
        <w:t>Eleven utvecklar:</w:t>
      </w:r>
    </w:p>
    <w:p>
      <w:pPr>
        <w:pStyle w:val="ListBullet"/>
      </w:pPr>
      <w:r>
        <w:rPr>
          <w:sz w:val="22"/>
        </w:rPr>
        <w:t>professionalism</w:t>
      </w:r>
    </w:p>
    <w:p>
      <w:pPr>
        <w:pStyle w:val="ListBullet"/>
      </w:pPr>
      <w:r>
        <w:rPr>
          <w:sz w:val="22"/>
        </w:rPr>
        <w:t>samarbete</w:t>
      </w:r>
    </w:p>
    <w:p>
      <w:pPr>
        <w:pStyle w:val="ListBullet"/>
      </w:pPr>
      <w:r>
        <w:rPr>
          <w:sz w:val="22"/>
        </w:rPr>
        <w:t>kommunikation</w:t>
      </w:r>
    </w:p>
    <w:p>
      <w:pPr>
        <w:pStyle w:val="ListBullet"/>
      </w:pPr>
      <w:r>
        <w:rPr>
          <w:sz w:val="22"/>
        </w:rPr>
        <w:t>bemötande</w:t>
      </w:r>
    </w:p>
    <w:p>
      <w:pPr>
        <w:pStyle w:val="ListBullet"/>
      </w:pPr>
      <w:r>
        <w:rPr>
          <w:sz w:val="22"/>
        </w:rPr>
        <w:t>förståelse för arbetsplatskultur</w:t>
      </w:r>
    </w:p>
    <w:p>
      <w:pPr>
        <w:spacing w:before="120" w:after="120"/>
      </w:pPr>
      <w:r>
        <w:rPr>
          <w:color w:val="C8C8C8"/>
          <w:sz w:val="12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t>9. Små arbetsuppgifter kan innehålla stort lärande</w:t>
      </w:r>
    </w:p>
    <w:p>
      <w:r>
        <w:rPr>
          <w:i/>
        </w:rPr>
        <w:t>Exempel: "Jag fick bara städa."</w:t>
      </w:r>
      <w:r>
        <w:rPr>
          <w:sz w:val="22"/>
        </w:rPr>
        <w:t xml:space="preserve"> Men genom städningen kanske eleven lärde sig:</w:t>
      </w:r>
    </w:p>
    <w:p>
      <w:pPr>
        <w:pStyle w:val="ListBullet"/>
      </w:pPr>
      <w:r>
        <w:rPr>
          <w:sz w:val="22"/>
        </w:rPr>
        <w:t>rutiner</w:t>
      </w:r>
    </w:p>
    <w:p>
      <w:pPr>
        <w:pStyle w:val="ListBullet"/>
      </w:pPr>
      <w:r>
        <w:rPr>
          <w:sz w:val="22"/>
        </w:rPr>
        <w:t>säkerhet</w:t>
      </w:r>
    </w:p>
    <w:p>
      <w:pPr>
        <w:pStyle w:val="ListBullet"/>
      </w:pPr>
      <w:r>
        <w:rPr>
          <w:sz w:val="22"/>
        </w:rPr>
        <w:t>lokalkännedom</w:t>
      </w:r>
    </w:p>
    <w:p>
      <w:pPr>
        <w:pStyle w:val="ListBullet"/>
      </w:pPr>
      <w:r>
        <w:rPr>
          <w:sz w:val="22"/>
        </w:rPr>
        <w:t>materialhantering</w:t>
      </w:r>
    </w:p>
    <w:p>
      <w:pPr>
        <w:pStyle w:val="ListBullet"/>
      </w:pPr>
      <w:r>
        <w:rPr>
          <w:sz w:val="22"/>
        </w:rPr>
        <w:t>ansvar</w:t>
      </w:r>
    </w:p>
    <w:p>
      <w:pPr>
        <w:pStyle w:val="ListBullet"/>
      </w:pPr>
      <w:r>
        <w:rPr>
          <w:sz w:val="22"/>
        </w:rPr>
        <w:t>självständighet</w:t>
      </w:r>
    </w:p>
    <w:p>
      <w:r>
        <w:rPr>
          <w:b/>
          <w:i/>
          <w:sz w:val="22"/>
        </w:rPr>
        <w:t>Det är viktigt att synliggöra lärandet bakom arbetsuppgifterna.</w:t>
      </w:r>
    </w:p>
    <w:p>
      <w:pPr>
        <w:spacing w:before="120" w:after="120"/>
      </w:pPr>
      <w:r>
        <w:rPr>
          <w:color w:val="C8C8C8"/>
          <w:sz w:val="12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t>10. Relationer är avgörande</w:t>
      </w:r>
    </w:p>
    <w:p>
      <w:r>
        <w:rPr>
          <w:b/>
        </w:rPr>
        <w:t>APL fungerar bäst när:</w:t>
      </w:r>
    </w:p>
    <w:p>
      <w:pPr>
        <w:pStyle w:val="ListBullet"/>
      </w:pPr>
      <w:r>
        <w:rPr>
          <w:sz w:val="22"/>
        </w:rPr>
        <w:t>eleven känner sig trygg</w:t>
      </w:r>
    </w:p>
    <w:p>
      <w:pPr>
        <w:pStyle w:val="ListBullet"/>
      </w:pPr>
      <w:r>
        <w:rPr>
          <w:sz w:val="22"/>
        </w:rPr>
        <w:t>handledaren känner sig uppskattad</w:t>
      </w:r>
    </w:p>
    <w:p>
      <w:pPr>
        <w:pStyle w:val="ListBullet"/>
      </w:pPr>
      <w:r>
        <w:rPr>
          <w:sz w:val="22"/>
        </w:rPr>
        <w:t>arbetsplatsen känner sig delaktig</w:t>
      </w:r>
    </w:p>
    <w:p>
      <w:pPr>
        <w:pStyle w:val="ListBullet"/>
      </w:pPr>
      <w:r>
        <w:rPr>
          <w:sz w:val="22"/>
        </w:rPr>
        <w:t>yrkesläraren är närvarande</w:t>
      </w:r>
    </w:p>
    <w:p>
      <w:r>
        <w:rPr>
          <w:i/>
          <w:sz w:val="22"/>
        </w:rPr>
        <w:t>Att "vårda relationerna" är en central del av APL-arbetet.</w:t>
      </w:r>
    </w:p>
    <w:p>
      <w:pPr>
        <w:spacing w:before="120" w:after="120"/>
      </w:pPr>
      <w:r>
        <w:rPr>
          <w:color w:val="C8C8C8"/>
          <w:sz w:val="12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t>11. Kommunikation behöver förenklas</w:t>
      </w:r>
    </w:p>
    <w:p>
      <w:r>
        <w:rPr>
          <w:sz w:val="22"/>
        </w:rPr>
        <w:t>Handledare behöver inte kunna skolans styrdokument eller bedömningsspråk. Yrkesläraren behöver istället:</w:t>
      </w:r>
    </w:p>
    <w:p>
      <w:pPr>
        <w:pStyle w:val="ListBullet"/>
      </w:pPr>
      <w:r>
        <w:rPr>
          <w:sz w:val="22"/>
        </w:rPr>
        <w:t>prata konkret</w:t>
      </w:r>
    </w:p>
    <w:p>
      <w:pPr>
        <w:pStyle w:val="ListBullet"/>
      </w:pPr>
      <w:r>
        <w:rPr>
          <w:sz w:val="22"/>
        </w:rPr>
        <w:t>använda yrkesnära exempel</w:t>
      </w:r>
    </w:p>
    <w:p>
      <w:pPr>
        <w:pStyle w:val="ListBullet"/>
      </w:pPr>
      <w:r>
        <w:rPr>
          <w:sz w:val="22"/>
        </w:rPr>
        <w:t>förenkla skolans språk</w:t>
      </w:r>
    </w:p>
    <w:p>
      <w:pPr>
        <w:pStyle w:val="ListBullet"/>
      </w:pPr>
      <w:r>
        <w:rPr>
          <w:sz w:val="22"/>
        </w:rPr>
        <w:t>tydliggöra vad eleven tränar på</w:t>
      </w:r>
    </w:p>
    <w:p>
      <w:pPr>
        <w:spacing w:before="120" w:after="120"/>
      </w:pPr>
      <w:r>
        <w:rPr>
          <w:color w:val="C8C8C8"/>
          <w:sz w:val="12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t>12. Huvudbudskap från föreläsningen</w:t>
      </w:r>
    </w:p>
    <w:p>
      <w:r>
        <w:rPr>
          <w:sz w:val="22"/>
        </w:rPr>
        <w:t>APL handlar inte bara om att eleven ska utföra arbetsuppgifter. APL handlar också om:</w:t>
      </w:r>
    </w:p>
    <w:p>
      <w:pPr>
        <w:pStyle w:val="ListBullet"/>
      </w:pPr>
      <w:r>
        <w:rPr>
          <w:sz w:val="22"/>
        </w:rPr>
        <w:t>identitet</w:t>
      </w:r>
    </w:p>
    <w:p>
      <w:pPr>
        <w:pStyle w:val="ListBullet"/>
      </w:pPr>
      <w:r>
        <w:rPr>
          <w:sz w:val="22"/>
        </w:rPr>
        <w:t>relationer</w:t>
      </w:r>
    </w:p>
    <w:p>
      <w:pPr>
        <w:pStyle w:val="ListBullet"/>
      </w:pPr>
      <w:r>
        <w:rPr>
          <w:sz w:val="22"/>
        </w:rPr>
        <w:t>trygghet</w:t>
      </w:r>
    </w:p>
    <w:p>
      <w:pPr>
        <w:pStyle w:val="ListBullet"/>
      </w:pPr>
      <w:r>
        <w:rPr>
          <w:sz w:val="22"/>
        </w:rPr>
        <w:t>yrkeskultur</w:t>
      </w:r>
    </w:p>
    <w:p>
      <w:pPr>
        <w:pStyle w:val="ListBullet"/>
      </w:pPr>
      <w:r>
        <w:rPr>
          <w:sz w:val="22"/>
        </w:rPr>
        <w:t>kommunikation</w:t>
      </w:r>
    </w:p>
    <w:p>
      <w:pPr>
        <w:pStyle w:val="ListBullet"/>
      </w:pPr>
      <w:r>
        <w:rPr>
          <w:sz w:val="22"/>
        </w:rPr>
        <w:t>ansvar</w:t>
      </w:r>
    </w:p>
    <w:p>
      <w:pPr>
        <w:pStyle w:val="ListBullet"/>
      </w:pPr>
      <w:r>
        <w:rPr>
          <w:sz w:val="22"/>
        </w:rPr>
        <w:t>människomöten</w:t>
      </w:r>
    </w:p>
    <w:p>
      <w:r>
        <w:rPr>
          <w:b/>
        </w:rPr>
        <w:t>Och för att APL ska fungera krävs:</w:t>
      </w:r>
    </w:p>
    <w:p>
      <w:pPr>
        <w:pStyle w:val="ListBullet"/>
      </w:pPr>
      <w:r>
        <w:rPr>
          <w:sz w:val="22"/>
        </w:rPr>
        <w:t>tid</w:t>
      </w:r>
    </w:p>
    <w:p>
      <w:pPr>
        <w:pStyle w:val="ListBullet"/>
      </w:pPr>
      <w:r>
        <w:rPr>
          <w:sz w:val="22"/>
        </w:rPr>
        <w:t>resurser</w:t>
      </w:r>
    </w:p>
    <w:p>
      <w:pPr>
        <w:pStyle w:val="ListBullet"/>
      </w:pPr>
      <w:r>
        <w:rPr>
          <w:sz w:val="22"/>
        </w:rPr>
        <w:t>samarbete</w:t>
      </w:r>
    </w:p>
    <w:p>
      <w:pPr>
        <w:pStyle w:val="ListBullet"/>
      </w:pPr>
      <w:r>
        <w:rPr>
          <w:sz w:val="22"/>
        </w:rPr>
        <w:t>närvaro</w:t>
      </w:r>
    </w:p>
    <w:p>
      <w:pPr>
        <w:pStyle w:val="ListBullet"/>
      </w:pPr>
      <w:r>
        <w:rPr>
          <w:sz w:val="22"/>
        </w:rPr>
        <w:t>förståelse för elevens hela situation</w:t>
      </w:r>
    </w:p>
    <w:p>
      <w:pPr>
        <w:spacing w:before="120" w:after="120"/>
      </w:pPr>
      <w:r>
        <w:rPr>
          <w:color w:val="C8C8C8"/>
          <w:sz w:val="12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t>Sammanfattning</w:t>
      </w:r>
    </w:p>
    <w:p>
      <w:r>
        <w:rPr>
          <w:b/>
          <w:sz w:val="24"/>
        </w:rPr>
        <w:t>Yrkesläraren blir en nyckelperson mellan skola, elev och arbetsliv. Utan yrkeslärarens engagemang, relationsskapande och förmåga att översätta mellan två världar – fungerar inte APL.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A0A0A0"/>
        <w:sz w:val="14"/>
      </w:rPr>
      <w:t>Skapat med lektionsplanerare.se – för lärare, av lärare  🦉 Nikky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B4B4B4"/>
        <w:sz w:val="14"/>
      </w:rPr>
      <w:t>lektionsplanerare.se  🦉 Nikky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